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7646" w14:textId="77777777" w:rsidR="000E32FA" w:rsidRPr="00B1404C" w:rsidRDefault="00BF5FC1" w:rsidP="000E32FA">
      <w:pPr>
        <w:rPr>
          <w:rFonts w:ascii="Arial" w:hAnsi="Arial" w:cs="Arial"/>
          <w:b/>
          <w:lang w:val="it-CH"/>
        </w:rPr>
      </w:pPr>
      <w:r w:rsidRPr="00B1404C">
        <w:rPr>
          <w:rFonts w:ascii="Arial" w:hAnsi="Arial" w:cs="Arial"/>
          <w:b/>
          <w:lang w:val="it-CH"/>
        </w:rPr>
        <w:t>Il nostro impegno</w:t>
      </w:r>
    </w:p>
    <w:p w14:paraId="53CD42E8" w14:textId="77777777" w:rsidR="0016745A" w:rsidRPr="0016745A" w:rsidRDefault="00BF5FC1" w:rsidP="00BF5FC1">
      <w:pPr>
        <w:jc w:val="both"/>
        <w:rPr>
          <w:rFonts w:ascii="Tahoma" w:hAnsi="Tahoma" w:cs="Tahoma"/>
          <w:lang w:val="it-CH"/>
        </w:rPr>
      </w:pPr>
      <w:r w:rsidRPr="00BF5FC1">
        <w:rPr>
          <w:rFonts w:ascii="Tahoma" w:hAnsi="Tahoma" w:cs="Tahoma"/>
          <w:lang w:val="it-CH"/>
        </w:rPr>
        <w:t xml:space="preserve">SwissGAP definisce le Buone </w:t>
      </w:r>
      <w:r w:rsidR="00B1404C">
        <w:rPr>
          <w:rFonts w:ascii="Tahoma" w:hAnsi="Tahoma" w:cs="Tahoma"/>
          <w:lang w:val="it-CH"/>
        </w:rPr>
        <w:t>p</w:t>
      </w:r>
      <w:r w:rsidRPr="00BF5FC1">
        <w:rPr>
          <w:rFonts w:ascii="Tahoma" w:hAnsi="Tahoma" w:cs="Tahoma"/>
          <w:lang w:val="it-CH"/>
        </w:rPr>
        <w:t xml:space="preserve">ratiche </w:t>
      </w:r>
      <w:r w:rsidR="00B1404C">
        <w:rPr>
          <w:rFonts w:ascii="Tahoma" w:hAnsi="Tahoma" w:cs="Tahoma"/>
          <w:lang w:val="it-CH"/>
        </w:rPr>
        <w:t>a</w:t>
      </w:r>
      <w:r w:rsidRPr="00BF5FC1">
        <w:rPr>
          <w:rFonts w:ascii="Tahoma" w:hAnsi="Tahoma" w:cs="Tahoma"/>
          <w:lang w:val="it-CH"/>
        </w:rPr>
        <w:t xml:space="preserve">gricole e </w:t>
      </w:r>
      <w:r w:rsidR="00B1404C">
        <w:rPr>
          <w:rFonts w:ascii="Tahoma" w:hAnsi="Tahoma" w:cs="Tahoma"/>
          <w:lang w:val="it-CH"/>
        </w:rPr>
        <w:t>applica</w:t>
      </w:r>
      <w:r w:rsidRPr="00BF5FC1">
        <w:rPr>
          <w:rFonts w:ascii="Tahoma" w:hAnsi="Tahoma" w:cs="Tahoma"/>
          <w:lang w:val="it-CH"/>
        </w:rPr>
        <w:t xml:space="preserve"> lo standard GLOBALG.A.P. in Svizzera, tenendo conto delle strutture specifiche </w:t>
      </w:r>
      <w:r w:rsidR="00B1404C">
        <w:rPr>
          <w:rFonts w:ascii="Tahoma" w:hAnsi="Tahoma" w:cs="Tahoma"/>
          <w:lang w:val="it-CH"/>
        </w:rPr>
        <w:t>della</w:t>
      </w:r>
      <w:r w:rsidRPr="00BF5FC1">
        <w:rPr>
          <w:rFonts w:ascii="Tahoma" w:hAnsi="Tahoma" w:cs="Tahoma"/>
          <w:lang w:val="it-CH"/>
        </w:rPr>
        <w:t xml:space="preserve"> Svizzera. </w:t>
      </w:r>
      <w:r>
        <w:rPr>
          <w:rFonts w:ascii="Tahoma" w:hAnsi="Tahoma" w:cs="Tahoma"/>
          <w:lang w:val="it-CH"/>
        </w:rPr>
        <w:t>Per raggiungere questo obiettivo, nel 2003 è stata fondata l</w:t>
      </w:r>
      <w:r w:rsidRPr="00BF5FC1">
        <w:rPr>
          <w:rFonts w:ascii="Tahoma" w:hAnsi="Tahoma" w:cs="Tahoma"/>
          <w:lang w:val="it-CH"/>
        </w:rPr>
        <w:t xml:space="preserve">’associazione SwissGAP. </w:t>
      </w:r>
      <w:r w:rsidRPr="00B1404C">
        <w:rPr>
          <w:rFonts w:ascii="Tahoma" w:hAnsi="Tahoma" w:cs="Tahoma"/>
          <w:lang w:val="it-CH"/>
        </w:rPr>
        <w:t xml:space="preserve">La struttura organizzativa dell’associazione è volutamente mantenuta snella. </w:t>
      </w:r>
      <w:r w:rsidRPr="00BF5FC1">
        <w:rPr>
          <w:rFonts w:ascii="Tahoma" w:hAnsi="Tahoma" w:cs="Tahoma"/>
          <w:lang w:val="it-CH"/>
        </w:rPr>
        <w:t xml:space="preserve">Tutti i membri nelle nostre commissioni non possiedono solamente delle competenze professionali, ma danno prova di grande disponibilità e volontà a trovare soluzioni comuni. </w:t>
      </w:r>
      <w:r w:rsidR="00B1404C" w:rsidRPr="00B1404C">
        <w:rPr>
          <w:rFonts w:ascii="Tahoma" w:hAnsi="Tahoma" w:cs="Tahoma"/>
          <w:lang w:val="it-CH"/>
        </w:rPr>
        <w:t>Per questo diamo molta importanza a garantire un buon ambiente di lavoro, caratterizzato da buona collaborazione, rispetto e tolleranza nei confronti di altre opinioni.</w:t>
      </w:r>
      <w:r w:rsidR="00B1404C">
        <w:rPr>
          <w:rFonts w:ascii="Tahoma" w:hAnsi="Tahoma" w:cs="Tahoma"/>
          <w:lang w:val="it-CH"/>
        </w:rPr>
        <w:t xml:space="preserve"> </w:t>
      </w:r>
      <w:r w:rsidR="0016745A" w:rsidRPr="0016745A">
        <w:rPr>
          <w:rFonts w:ascii="Tahoma" w:hAnsi="Tahoma" w:cs="Tahoma"/>
          <w:lang w:val="it-CH"/>
        </w:rPr>
        <w:t>Tutti assieme siamo garanti per il successo di SwissGAP.</w:t>
      </w:r>
    </w:p>
    <w:p w14:paraId="048C9234" w14:textId="77777777" w:rsidR="000E32FA" w:rsidRPr="0016745A" w:rsidRDefault="000E32FA" w:rsidP="000E32FA">
      <w:pPr>
        <w:jc w:val="both"/>
        <w:rPr>
          <w:rFonts w:ascii="Arial" w:hAnsi="Arial" w:cs="Arial"/>
          <w:lang w:val="it-CH"/>
        </w:rPr>
      </w:pPr>
    </w:p>
    <w:p w14:paraId="1FD19927" w14:textId="77777777" w:rsidR="00F92620" w:rsidRPr="0016745A" w:rsidRDefault="0016745A" w:rsidP="000E32FA">
      <w:pPr>
        <w:jc w:val="both"/>
        <w:rPr>
          <w:rFonts w:ascii="Arial" w:hAnsi="Arial" w:cs="Arial"/>
          <w:b/>
          <w:lang w:val="it-CH"/>
        </w:rPr>
      </w:pPr>
      <w:r w:rsidRPr="0016745A">
        <w:rPr>
          <w:rFonts w:ascii="Arial" w:hAnsi="Arial" w:cs="Arial"/>
          <w:b/>
          <w:lang w:val="it-CH"/>
        </w:rPr>
        <w:t>Contenuti dello standard</w:t>
      </w:r>
    </w:p>
    <w:p w14:paraId="46ED32DA" w14:textId="72C12C33" w:rsidR="000E32FA" w:rsidRPr="00040636" w:rsidRDefault="0016745A" w:rsidP="000E32FA">
      <w:pPr>
        <w:jc w:val="both"/>
        <w:rPr>
          <w:rFonts w:ascii="Arial" w:hAnsi="Arial" w:cs="Arial"/>
          <w:lang w:val="it-CH"/>
        </w:rPr>
      </w:pPr>
      <w:r w:rsidRPr="0016745A">
        <w:rPr>
          <w:rFonts w:ascii="Arial" w:hAnsi="Arial" w:cs="Arial"/>
          <w:lang w:val="it-CH"/>
        </w:rPr>
        <w:t xml:space="preserve">Il catalogo delle esigenze è di principio paragonabile a quello di </w:t>
      </w:r>
      <w:r w:rsidR="000E32FA" w:rsidRPr="0016745A">
        <w:rPr>
          <w:rFonts w:ascii="Arial" w:hAnsi="Arial" w:cs="Arial"/>
          <w:lang w:val="it-CH"/>
        </w:rPr>
        <w:t xml:space="preserve">GLOBALG.A.P. </w:t>
      </w:r>
      <w:r w:rsidRPr="0016745A">
        <w:rPr>
          <w:rFonts w:ascii="Arial" w:hAnsi="Arial" w:cs="Arial"/>
          <w:lang w:val="it-CH"/>
        </w:rPr>
        <w:t xml:space="preserve">e contiene aspetti di sicurezza alimentare, metodi di produzione sostenibili, aspetti sociali e </w:t>
      </w:r>
      <w:r>
        <w:rPr>
          <w:rFonts w:ascii="Arial" w:hAnsi="Arial" w:cs="Arial"/>
          <w:lang w:val="it-CH"/>
        </w:rPr>
        <w:t>di sicurezza della mano d’opera, uso responsabile di acqua, sementi, pia</w:t>
      </w:r>
      <w:r w:rsidR="00BC50AD">
        <w:rPr>
          <w:rFonts w:ascii="Arial" w:hAnsi="Arial" w:cs="Arial"/>
          <w:lang w:val="it-CH"/>
        </w:rPr>
        <w:t>n</w:t>
      </w:r>
      <w:r>
        <w:rPr>
          <w:rFonts w:ascii="Arial" w:hAnsi="Arial" w:cs="Arial"/>
          <w:lang w:val="it-CH"/>
        </w:rPr>
        <w:t xml:space="preserve">tine, concimi e prodotti fitosanitari. </w:t>
      </w:r>
      <w:r w:rsidR="00B407DA" w:rsidRPr="00040636">
        <w:rPr>
          <w:rFonts w:ascii="Arial" w:hAnsi="Arial" w:cs="Arial"/>
          <w:lang w:val="it-CH"/>
        </w:rPr>
        <w:t>I prodotti certificati</w:t>
      </w:r>
      <w:r w:rsidR="00B20350" w:rsidRPr="00040636">
        <w:rPr>
          <w:rFonts w:ascii="Arial" w:hAnsi="Arial" w:cs="Arial"/>
          <w:lang w:val="it-CH"/>
        </w:rPr>
        <w:t xml:space="preserve"> SwissGAP</w:t>
      </w:r>
      <w:r w:rsidR="00B407DA" w:rsidRPr="00040636">
        <w:rPr>
          <w:rFonts w:ascii="Arial" w:hAnsi="Arial" w:cs="Arial"/>
          <w:lang w:val="it-CH"/>
        </w:rPr>
        <w:t xml:space="preserve"> sono inoltre </w:t>
      </w:r>
      <w:r w:rsidR="00040636" w:rsidRPr="00040636">
        <w:rPr>
          <w:rFonts w:ascii="Arial" w:hAnsi="Arial" w:cs="Arial"/>
          <w:lang w:val="it-CH"/>
        </w:rPr>
        <w:t>regolarmente analizzati per verificare l’assenza di residui di prodotti fitosanitari e altre sostanze indesiderate.</w:t>
      </w:r>
      <w:r w:rsidR="00040636">
        <w:rPr>
          <w:rFonts w:ascii="Arial" w:hAnsi="Arial" w:cs="Arial"/>
          <w:lang w:val="it-CH"/>
        </w:rPr>
        <w:t xml:space="preserve"> La partecipazione al monitoraggio dei residui è obbligatorio e comprende procedure per seguire tutte le contestazioni. Non si tratta </w:t>
      </w:r>
      <w:bookmarkStart w:id="0" w:name="_GoBack"/>
      <w:bookmarkEnd w:id="0"/>
      <w:r w:rsidR="00040636">
        <w:rPr>
          <w:rFonts w:ascii="Arial" w:hAnsi="Arial" w:cs="Arial"/>
          <w:lang w:val="it-CH"/>
        </w:rPr>
        <w:t xml:space="preserve">solo di un importante strumento di controllo, ma anche la base per un miglioramento costante nelle Buone pratiche agricole, specialmente nelle tecniche di protezione fitosanitaria. </w:t>
      </w:r>
      <w:r w:rsidR="00B20350" w:rsidRPr="00040636">
        <w:rPr>
          <w:rFonts w:ascii="Arial" w:hAnsi="Arial" w:cs="Arial"/>
          <w:lang w:val="it-CH"/>
        </w:rPr>
        <w:t xml:space="preserve">SwissGAP </w:t>
      </w:r>
      <w:r w:rsidR="00040636" w:rsidRPr="00040636">
        <w:rPr>
          <w:rFonts w:ascii="Arial" w:hAnsi="Arial" w:cs="Arial"/>
          <w:lang w:val="it-CH"/>
        </w:rPr>
        <w:t>garantisce con ciò un’elevata sicurezza alimentare come pure una produzione sostenibile.</w:t>
      </w:r>
      <w:r w:rsidR="00B20350" w:rsidRPr="00040636">
        <w:rPr>
          <w:rFonts w:ascii="Arial" w:hAnsi="Arial" w:cs="Arial"/>
          <w:lang w:val="it-CH"/>
        </w:rPr>
        <w:t xml:space="preserve"> </w:t>
      </w:r>
    </w:p>
    <w:p w14:paraId="14C4AC31" w14:textId="77777777" w:rsidR="000E32FA" w:rsidRPr="00040636" w:rsidRDefault="000E32FA" w:rsidP="000E32FA">
      <w:pPr>
        <w:jc w:val="both"/>
        <w:rPr>
          <w:rFonts w:ascii="Arial" w:hAnsi="Arial" w:cs="Arial"/>
          <w:lang w:val="it-CH"/>
        </w:rPr>
      </w:pPr>
    </w:p>
    <w:p w14:paraId="580E82DB" w14:textId="77777777" w:rsidR="000E32FA" w:rsidRPr="00040636" w:rsidRDefault="00040636" w:rsidP="000E32FA">
      <w:pPr>
        <w:jc w:val="both"/>
        <w:rPr>
          <w:rFonts w:ascii="Arial" w:hAnsi="Arial" w:cs="Arial"/>
          <w:lang w:val="it-CH"/>
        </w:rPr>
      </w:pPr>
      <w:r w:rsidRPr="00040636">
        <w:rPr>
          <w:rFonts w:ascii="Arial" w:hAnsi="Arial" w:cs="Arial"/>
          <w:lang w:val="it-CH"/>
        </w:rPr>
        <w:t xml:space="preserve">Oltre alle esigenze tecniche </w:t>
      </w:r>
      <w:r w:rsidR="000E32FA" w:rsidRPr="00040636">
        <w:rPr>
          <w:rFonts w:ascii="Arial" w:hAnsi="Arial" w:cs="Arial"/>
          <w:lang w:val="it-CH"/>
        </w:rPr>
        <w:t>(</w:t>
      </w:r>
      <w:proofErr w:type="spellStart"/>
      <w:r w:rsidR="005166A5" w:rsidRPr="00040636">
        <w:rPr>
          <w:rFonts w:ascii="Arial" w:hAnsi="Arial" w:cs="Arial"/>
          <w:lang w:val="it-CH"/>
        </w:rPr>
        <w:t>Checkliste</w:t>
      </w:r>
      <w:proofErr w:type="spellEnd"/>
      <w:r w:rsidR="005166A5" w:rsidRPr="00040636">
        <w:rPr>
          <w:rFonts w:ascii="Arial" w:hAnsi="Arial" w:cs="Arial"/>
          <w:lang w:val="it-CH"/>
        </w:rPr>
        <w:t xml:space="preserve"> </w:t>
      </w:r>
      <w:proofErr w:type="spellStart"/>
      <w:r w:rsidR="000E32FA" w:rsidRPr="00040636">
        <w:rPr>
          <w:rFonts w:ascii="Arial" w:hAnsi="Arial" w:cs="Arial"/>
          <w:lang w:val="it-CH"/>
        </w:rPr>
        <w:t>Swiss</w:t>
      </w:r>
      <w:r w:rsidRPr="00040636">
        <w:rPr>
          <w:rFonts w:ascii="Arial" w:hAnsi="Arial" w:cs="Arial"/>
          <w:lang w:val="it-CH"/>
        </w:rPr>
        <w:t>GAP</w:t>
      </w:r>
      <w:proofErr w:type="spellEnd"/>
      <w:r w:rsidRPr="00040636">
        <w:rPr>
          <w:rFonts w:ascii="Arial" w:hAnsi="Arial" w:cs="Arial"/>
          <w:lang w:val="it-CH"/>
        </w:rPr>
        <w:t xml:space="preserve">), un’azienda </w:t>
      </w:r>
      <w:proofErr w:type="spellStart"/>
      <w:r w:rsidR="000E32FA" w:rsidRPr="00040636">
        <w:rPr>
          <w:rFonts w:ascii="Arial" w:hAnsi="Arial" w:cs="Arial"/>
          <w:lang w:val="it-CH"/>
        </w:rPr>
        <w:t>SwissGAP</w:t>
      </w:r>
      <w:proofErr w:type="spellEnd"/>
      <w:r w:rsidR="000E32FA" w:rsidRPr="00040636">
        <w:rPr>
          <w:rFonts w:ascii="Arial" w:hAnsi="Arial" w:cs="Arial"/>
          <w:lang w:val="it-CH"/>
        </w:rPr>
        <w:t xml:space="preserve"> </w:t>
      </w:r>
      <w:r w:rsidRPr="00040636">
        <w:rPr>
          <w:rFonts w:ascii="Arial" w:hAnsi="Arial" w:cs="Arial"/>
          <w:lang w:val="it-CH"/>
        </w:rPr>
        <w:t>si impegna a rispettare i punti se</w:t>
      </w:r>
      <w:r>
        <w:rPr>
          <w:rFonts w:ascii="Arial" w:hAnsi="Arial" w:cs="Arial"/>
          <w:lang w:val="it-CH"/>
        </w:rPr>
        <w:t>guenti</w:t>
      </w:r>
      <w:r w:rsidR="000E32FA" w:rsidRPr="00040636">
        <w:rPr>
          <w:rFonts w:ascii="Arial" w:hAnsi="Arial" w:cs="Arial"/>
          <w:lang w:val="it-CH"/>
        </w:rPr>
        <w:t>:</w:t>
      </w:r>
    </w:p>
    <w:p w14:paraId="3FBEE818" w14:textId="77777777" w:rsidR="000E32FA" w:rsidRPr="00040636" w:rsidRDefault="000E32FA" w:rsidP="000E32FA">
      <w:pPr>
        <w:rPr>
          <w:rFonts w:ascii="Arial" w:hAnsi="Arial" w:cs="Arial"/>
          <w:lang w:val="it-CH"/>
        </w:rPr>
      </w:pPr>
    </w:p>
    <w:p w14:paraId="19DAC713" w14:textId="77777777" w:rsidR="000E32FA" w:rsidRPr="00040636" w:rsidRDefault="00040636" w:rsidP="000E32FA">
      <w:pPr>
        <w:spacing w:after="60"/>
        <w:jc w:val="both"/>
        <w:rPr>
          <w:rFonts w:ascii="Arial" w:hAnsi="Arial" w:cs="Arial"/>
          <w:lang w:val="it-CH"/>
        </w:rPr>
      </w:pPr>
      <w:r w:rsidRPr="00040636">
        <w:rPr>
          <w:rFonts w:ascii="Arial" w:hAnsi="Arial" w:cs="Arial"/>
          <w:b/>
          <w:lang w:val="it-CH"/>
        </w:rPr>
        <w:t>Rifiuti e sostanze pericolose</w:t>
      </w:r>
    </w:p>
    <w:p w14:paraId="7913DC05" w14:textId="77777777" w:rsidR="000E32FA" w:rsidRPr="00040636" w:rsidRDefault="00040636" w:rsidP="000E32FA">
      <w:pPr>
        <w:spacing w:after="60"/>
        <w:jc w:val="both"/>
        <w:rPr>
          <w:rFonts w:ascii="Arial" w:hAnsi="Arial" w:cs="Arial"/>
          <w:lang w:val="it-CH"/>
        </w:rPr>
      </w:pPr>
      <w:r w:rsidRPr="00040636">
        <w:rPr>
          <w:rFonts w:ascii="Arial" w:hAnsi="Arial" w:cs="Arial"/>
          <w:lang w:val="it-CH"/>
        </w:rPr>
        <w:t xml:space="preserve">Nella misura del possibile si cerca di </w:t>
      </w:r>
      <w:r w:rsidR="00E46CCB">
        <w:rPr>
          <w:rFonts w:ascii="Arial" w:hAnsi="Arial" w:cs="Arial"/>
          <w:lang w:val="it-CH"/>
        </w:rPr>
        <w:t xml:space="preserve">evitare o almeno </w:t>
      </w:r>
      <w:r w:rsidRPr="00040636">
        <w:rPr>
          <w:rFonts w:ascii="Arial" w:hAnsi="Arial" w:cs="Arial"/>
          <w:lang w:val="it-CH"/>
        </w:rPr>
        <w:t>ridurre</w:t>
      </w:r>
      <w:r w:rsidR="00E46CCB">
        <w:rPr>
          <w:rFonts w:ascii="Arial" w:hAnsi="Arial" w:cs="Arial"/>
          <w:lang w:val="it-CH"/>
        </w:rPr>
        <w:t xml:space="preserve"> al minimo</w:t>
      </w:r>
      <w:r w:rsidRPr="00040636">
        <w:rPr>
          <w:rFonts w:ascii="Arial" w:hAnsi="Arial" w:cs="Arial"/>
          <w:lang w:val="it-CH"/>
        </w:rPr>
        <w:t xml:space="preserve"> il volume di rifiuti prodotti e </w:t>
      </w:r>
      <w:r w:rsidR="00E46CCB">
        <w:rPr>
          <w:rFonts w:ascii="Arial" w:hAnsi="Arial" w:cs="Arial"/>
          <w:lang w:val="it-CH"/>
        </w:rPr>
        <w:t xml:space="preserve">gli inquinamenti ambientali </w:t>
      </w:r>
    </w:p>
    <w:p w14:paraId="09ECADE5" w14:textId="77777777" w:rsidR="00E46CCB" w:rsidRPr="00E46CCB" w:rsidRDefault="00E46CCB" w:rsidP="00841A1B">
      <w:pPr>
        <w:spacing w:after="60"/>
        <w:jc w:val="both"/>
        <w:rPr>
          <w:rFonts w:ascii="Arial" w:hAnsi="Arial" w:cs="Arial"/>
          <w:lang w:val="it-CH"/>
        </w:rPr>
      </w:pPr>
      <w:r w:rsidRPr="00E46CCB">
        <w:rPr>
          <w:rFonts w:ascii="Arial" w:hAnsi="Arial" w:cs="Arial"/>
          <w:lang w:val="it-CH"/>
        </w:rPr>
        <w:t>I rischi di inquinamento di aria, suolo e acqua sono pure presi in considerazione.</w:t>
      </w:r>
    </w:p>
    <w:p w14:paraId="57D7EA41" w14:textId="77777777" w:rsidR="000E32FA" w:rsidRPr="005166A5" w:rsidRDefault="000E32FA" w:rsidP="00841A1B">
      <w:pPr>
        <w:spacing w:after="60"/>
        <w:jc w:val="both"/>
        <w:rPr>
          <w:rFonts w:ascii="Arial" w:hAnsi="Arial" w:cs="Arial"/>
          <w:lang w:val="it-CH"/>
        </w:rPr>
      </w:pPr>
    </w:p>
    <w:p w14:paraId="1142A512" w14:textId="77777777" w:rsidR="000E32FA" w:rsidRPr="00E46CCB" w:rsidRDefault="00E46CCB" w:rsidP="000E32FA">
      <w:pPr>
        <w:spacing w:after="60"/>
        <w:jc w:val="both"/>
        <w:rPr>
          <w:rFonts w:ascii="Arial" w:hAnsi="Arial" w:cs="Arial"/>
          <w:lang w:val="it-CH"/>
        </w:rPr>
      </w:pPr>
      <w:r w:rsidRPr="00E46CCB">
        <w:rPr>
          <w:rFonts w:ascii="Arial" w:hAnsi="Arial" w:cs="Arial"/>
          <w:b/>
          <w:lang w:val="it-CH"/>
        </w:rPr>
        <w:t>Uso efficiente dell‘energia</w:t>
      </w:r>
    </w:p>
    <w:p w14:paraId="44C354C4" w14:textId="77777777" w:rsidR="00E46CCB" w:rsidRPr="00E46CCB" w:rsidRDefault="00E46CCB" w:rsidP="000E32FA">
      <w:pPr>
        <w:spacing w:after="60"/>
        <w:rPr>
          <w:rFonts w:ascii="Arial" w:hAnsi="Arial" w:cs="Arial"/>
          <w:lang w:val="it-CH"/>
        </w:rPr>
      </w:pPr>
      <w:r w:rsidRPr="00E46CCB">
        <w:rPr>
          <w:rFonts w:ascii="Arial" w:hAnsi="Arial" w:cs="Arial"/>
          <w:lang w:val="it-CH"/>
        </w:rPr>
        <w:t>Le fatture permettono di rendersi conto del consumo energetico dell’azienda e si presta attenzione a dove e come si consuma energia in azienda.</w:t>
      </w:r>
    </w:p>
    <w:p w14:paraId="1497CA02" w14:textId="77777777" w:rsidR="00E46CCB" w:rsidRPr="00E46CCB" w:rsidRDefault="00E46CCB" w:rsidP="000E32FA">
      <w:pPr>
        <w:spacing w:after="60"/>
        <w:rPr>
          <w:rFonts w:ascii="Arial" w:hAnsi="Arial" w:cs="Arial"/>
          <w:lang w:val="it-CH"/>
        </w:rPr>
      </w:pPr>
      <w:r w:rsidRPr="00E46CCB">
        <w:rPr>
          <w:rFonts w:ascii="Arial" w:hAnsi="Arial" w:cs="Arial"/>
          <w:lang w:val="it-CH"/>
        </w:rPr>
        <w:t>In caso di nuovi acquisti, si scelgono veicoli e apparecchi a basso consumo energetico.</w:t>
      </w:r>
    </w:p>
    <w:p w14:paraId="1E2D6A4C" w14:textId="77777777" w:rsidR="00E46CCB" w:rsidRPr="00E46CCB" w:rsidRDefault="00E46CCB" w:rsidP="000E32FA">
      <w:pPr>
        <w:spacing w:after="60"/>
        <w:rPr>
          <w:rFonts w:ascii="Arial" w:hAnsi="Arial" w:cs="Arial"/>
          <w:lang w:val="it-CH"/>
        </w:rPr>
      </w:pPr>
      <w:r w:rsidRPr="00E46CCB">
        <w:rPr>
          <w:rFonts w:ascii="Arial" w:hAnsi="Arial" w:cs="Arial"/>
          <w:lang w:val="it-CH"/>
        </w:rPr>
        <w:t>L’uso di energie non rinnovabili è ridotto al minimo.</w:t>
      </w:r>
    </w:p>
    <w:p w14:paraId="4F53A898" w14:textId="77777777" w:rsidR="00B06381" w:rsidRPr="00B06381" w:rsidRDefault="00997EAE" w:rsidP="000E32FA">
      <w:pPr>
        <w:spacing w:after="60"/>
        <w:rPr>
          <w:rFonts w:ascii="Arial" w:hAnsi="Arial" w:cs="Arial"/>
          <w:lang w:val="it-CH"/>
        </w:rPr>
      </w:pPr>
      <w:r w:rsidRPr="00B06381">
        <w:rPr>
          <w:rFonts w:ascii="Arial" w:hAnsi="Arial" w:cs="Arial"/>
          <w:lang w:val="it-CH"/>
        </w:rPr>
        <w:t xml:space="preserve">Si presta la massima attenzione alle misure che permettono </w:t>
      </w:r>
      <w:r w:rsidR="00B06381" w:rsidRPr="00B06381">
        <w:rPr>
          <w:rFonts w:ascii="Arial" w:hAnsi="Arial" w:cs="Arial"/>
          <w:lang w:val="it-CH"/>
        </w:rPr>
        <w:t xml:space="preserve">di </w:t>
      </w:r>
      <w:r w:rsidR="00754D5D" w:rsidRPr="00B06381">
        <w:rPr>
          <w:rFonts w:ascii="Arial" w:hAnsi="Arial" w:cs="Arial"/>
          <w:lang w:val="it-CH"/>
        </w:rPr>
        <w:t>migliorare</w:t>
      </w:r>
      <w:r w:rsidR="00B06381" w:rsidRPr="00B06381">
        <w:rPr>
          <w:rFonts w:ascii="Arial" w:hAnsi="Arial" w:cs="Arial"/>
          <w:lang w:val="it-CH"/>
        </w:rPr>
        <w:t xml:space="preserve"> l’efficienza energetica dell’azienda.</w:t>
      </w:r>
    </w:p>
    <w:p w14:paraId="5777B7E4" w14:textId="77777777" w:rsidR="000E32FA" w:rsidRPr="005166A5" w:rsidRDefault="000E32FA" w:rsidP="000E32FA">
      <w:pPr>
        <w:spacing w:after="60"/>
        <w:rPr>
          <w:rFonts w:ascii="Arial" w:hAnsi="Arial" w:cs="Arial"/>
          <w:b/>
          <w:lang w:val="it-CH"/>
        </w:rPr>
      </w:pPr>
    </w:p>
    <w:p w14:paraId="26D69C84" w14:textId="77777777" w:rsidR="000E32FA" w:rsidRPr="005166A5" w:rsidRDefault="00754D5D" w:rsidP="000E32FA">
      <w:pPr>
        <w:spacing w:after="60"/>
        <w:jc w:val="both"/>
        <w:rPr>
          <w:rFonts w:ascii="Arial" w:hAnsi="Arial" w:cs="Arial"/>
          <w:lang w:val="it-CH"/>
        </w:rPr>
      </w:pPr>
      <w:r w:rsidRPr="005166A5">
        <w:rPr>
          <w:rFonts w:ascii="Arial" w:hAnsi="Arial" w:cs="Arial"/>
          <w:b/>
          <w:lang w:val="it-CH"/>
        </w:rPr>
        <w:t>Captazione dell‘acqua</w:t>
      </w:r>
    </w:p>
    <w:p w14:paraId="123F4301" w14:textId="77777777" w:rsidR="00754D5D" w:rsidRPr="00754D5D" w:rsidRDefault="00754D5D" w:rsidP="000E32FA">
      <w:pPr>
        <w:spacing w:after="60"/>
        <w:rPr>
          <w:rFonts w:ascii="Arial" w:hAnsi="Arial" w:cs="Arial"/>
          <w:lang w:val="it-CH"/>
        </w:rPr>
      </w:pPr>
      <w:r w:rsidRPr="00754D5D">
        <w:rPr>
          <w:rFonts w:ascii="Arial" w:hAnsi="Arial" w:cs="Arial"/>
          <w:lang w:val="it-CH"/>
        </w:rPr>
        <w:t>La raccolta di acqua piovana (p. es. da tetti, serre, ecc.) è consigliata, purché permessa dalla legge e realizzabile a livell</w:t>
      </w:r>
      <w:r>
        <w:rPr>
          <w:rFonts w:ascii="Arial" w:hAnsi="Arial" w:cs="Arial"/>
          <w:lang w:val="it-CH"/>
        </w:rPr>
        <w:t>o pra</w:t>
      </w:r>
      <w:r w:rsidRPr="00754D5D">
        <w:rPr>
          <w:rFonts w:ascii="Arial" w:hAnsi="Arial" w:cs="Arial"/>
          <w:lang w:val="it-CH"/>
        </w:rPr>
        <w:t>tico ed economico.</w:t>
      </w:r>
    </w:p>
    <w:p w14:paraId="1FFA490B" w14:textId="77777777" w:rsidR="000E32FA" w:rsidRPr="005166A5" w:rsidRDefault="000E32FA" w:rsidP="000E32FA">
      <w:pPr>
        <w:spacing w:after="60"/>
        <w:rPr>
          <w:rFonts w:ascii="Arial" w:hAnsi="Arial" w:cs="Arial"/>
          <w:lang w:val="it-CH"/>
        </w:rPr>
      </w:pPr>
    </w:p>
    <w:p w14:paraId="5FD0F001" w14:textId="77777777" w:rsidR="000E32FA" w:rsidRPr="005166A5" w:rsidRDefault="00754D5D" w:rsidP="000E32FA">
      <w:pPr>
        <w:spacing w:after="60"/>
        <w:jc w:val="both"/>
        <w:rPr>
          <w:rFonts w:ascii="Arial" w:hAnsi="Arial" w:cs="Arial"/>
          <w:lang w:val="it-CH"/>
        </w:rPr>
      </w:pPr>
      <w:r w:rsidRPr="005166A5">
        <w:rPr>
          <w:rFonts w:ascii="Arial" w:hAnsi="Arial" w:cs="Arial"/>
          <w:b/>
          <w:lang w:val="it-CH"/>
        </w:rPr>
        <w:t>Evitare la frode alimentare</w:t>
      </w:r>
    </w:p>
    <w:p w14:paraId="6D943B5D" w14:textId="77777777" w:rsidR="00BB61FA" w:rsidRPr="00BB61FA" w:rsidRDefault="00754D5D" w:rsidP="000E32FA">
      <w:pPr>
        <w:rPr>
          <w:rFonts w:ascii="Arial" w:hAnsi="Arial" w:cs="Arial"/>
          <w:lang w:val="it-CH"/>
        </w:rPr>
      </w:pPr>
      <w:r w:rsidRPr="00BB61FA">
        <w:rPr>
          <w:rFonts w:ascii="Arial" w:hAnsi="Arial" w:cs="Arial"/>
          <w:lang w:val="it-CH"/>
        </w:rPr>
        <w:t>L’azienda è attenta a p</w:t>
      </w:r>
      <w:r w:rsidR="00BB61FA">
        <w:rPr>
          <w:rFonts w:ascii="Arial" w:hAnsi="Arial" w:cs="Arial"/>
          <w:lang w:val="it-CH"/>
        </w:rPr>
        <w:t>otenziali</w:t>
      </w:r>
      <w:r w:rsidRPr="00BB61FA">
        <w:rPr>
          <w:rFonts w:ascii="Arial" w:hAnsi="Arial" w:cs="Arial"/>
          <w:lang w:val="it-CH"/>
        </w:rPr>
        <w:t xml:space="preserve"> minacce </w:t>
      </w:r>
      <w:r w:rsidR="00BB61FA">
        <w:rPr>
          <w:rFonts w:ascii="Arial" w:hAnsi="Arial" w:cs="Arial"/>
          <w:lang w:val="it-CH"/>
        </w:rPr>
        <w:t>in modo da</w:t>
      </w:r>
      <w:r w:rsidRPr="00BB61FA">
        <w:rPr>
          <w:rFonts w:ascii="Arial" w:hAnsi="Arial" w:cs="Arial"/>
          <w:lang w:val="it-CH"/>
        </w:rPr>
        <w:t xml:space="preserve"> evitare eventuali frodi </w:t>
      </w:r>
      <w:r w:rsidR="00BB61FA" w:rsidRPr="00BB61FA">
        <w:rPr>
          <w:rFonts w:ascii="Arial" w:hAnsi="Arial" w:cs="Arial"/>
          <w:lang w:val="it-CH"/>
        </w:rPr>
        <w:t>alimentari</w:t>
      </w:r>
      <w:r w:rsidRPr="00BB61FA">
        <w:rPr>
          <w:rFonts w:ascii="Arial" w:hAnsi="Arial" w:cs="Arial"/>
          <w:lang w:val="it-CH"/>
        </w:rPr>
        <w:t xml:space="preserve"> (p. es. </w:t>
      </w:r>
      <w:r w:rsidR="00BB61FA" w:rsidRPr="00BB61FA">
        <w:rPr>
          <w:rFonts w:ascii="Arial" w:hAnsi="Arial" w:cs="Arial"/>
          <w:lang w:val="it-CH"/>
        </w:rPr>
        <w:t>prodotti fitosanitari falsificati, materiale di moltiplicazione, imballaggi</w:t>
      </w:r>
      <w:r w:rsidR="008B71D7">
        <w:rPr>
          <w:rFonts w:ascii="Arial" w:hAnsi="Arial" w:cs="Arial"/>
          <w:lang w:val="it-CH"/>
        </w:rPr>
        <w:t xml:space="preserve"> non idonei agli alimenti, ecc.</w:t>
      </w:r>
      <w:r w:rsidR="00BB61FA" w:rsidRPr="00BB61FA">
        <w:rPr>
          <w:rFonts w:ascii="Arial" w:hAnsi="Arial" w:cs="Arial"/>
          <w:lang w:val="it-CH"/>
        </w:rPr>
        <w:t>)</w:t>
      </w:r>
      <w:r w:rsidR="00BB61FA">
        <w:rPr>
          <w:rFonts w:ascii="Arial" w:hAnsi="Arial" w:cs="Arial"/>
          <w:lang w:val="it-CH"/>
        </w:rPr>
        <w:t>.</w:t>
      </w:r>
    </w:p>
    <w:p w14:paraId="6AB6594A" w14:textId="77777777" w:rsidR="000E32FA" w:rsidRPr="00BB61FA" w:rsidRDefault="000E32FA" w:rsidP="00841A1B">
      <w:pPr>
        <w:spacing w:before="60" w:after="60"/>
        <w:rPr>
          <w:rFonts w:ascii="Arial" w:hAnsi="Arial" w:cs="Arial"/>
          <w:lang w:val="it-CH"/>
        </w:rPr>
      </w:pPr>
    </w:p>
    <w:p w14:paraId="708C6B7C" w14:textId="77777777" w:rsidR="000E32FA" w:rsidRPr="007E0F6D" w:rsidRDefault="00435711" w:rsidP="000E32FA">
      <w:pPr>
        <w:spacing w:after="60"/>
        <w:jc w:val="both"/>
        <w:rPr>
          <w:rFonts w:ascii="Arial" w:hAnsi="Arial" w:cs="Arial"/>
          <w:lang w:val="it-IT"/>
        </w:rPr>
      </w:pPr>
      <w:r w:rsidRPr="007E0F6D">
        <w:rPr>
          <w:rFonts w:ascii="Arial" w:hAnsi="Arial" w:cs="Arial"/>
          <w:b/>
          <w:lang w:val="it-IT"/>
        </w:rPr>
        <w:t>Protezione fitosanitaria integrata</w:t>
      </w:r>
    </w:p>
    <w:p w14:paraId="56045AB3" w14:textId="77777777" w:rsidR="00BB1659" w:rsidRPr="005166A5" w:rsidRDefault="00BB1659" w:rsidP="00BB1659">
      <w:pPr>
        <w:rPr>
          <w:rFonts w:ascii="Arial" w:hAnsi="Arial" w:cs="Arial"/>
          <w:lang w:val="it-CH"/>
        </w:rPr>
      </w:pPr>
      <w:r w:rsidRPr="00BB1659">
        <w:rPr>
          <w:rFonts w:ascii="Arial" w:hAnsi="Arial" w:cs="Arial"/>
          <w:lang w:val="it-CH"/>
        </w:rPr>
        <w:t xml:space="preserve">Nell’ambito della produzione integrata e della coltivazione biologica, si adottano diverse misure preventive e di </w:t>
      </w:r>
      <w:r w:rsidRPr="005166A5">
        <w:rPr>
          <w:rFonts w:ascii="Arial" w:hAnsi="Arial" w:cs="Arial"/>
          <w:lang w:val="it-CH"/>
        </w:rPr>
        <w:t>monitoraggio dei parassiti. Quale base di riferimento vale la PER. Come ulteriore aiuto si può consid</w:t>
      </w:r>
      <w:r w:rsidR="005166A5" w:rsidRPr="005166A5">
        <w:rPr>
          <w:rFonts w:ascii="Arial" w:hAnsi="Arial" w:cs="Arial"/>
          <w:lang w:val="it-CH"/>
        </w:rPr>
        <w:t>erare il documento GLOBALG.A.P.</w:t>
      </w:r>
      <w:r w:rsidRPr="005166A5">
        <w:rPr>
          <w:rFonts w:ascii="Arial" w:hAnsi="Arial" w:cs="Arial"/>
          <w:lang w:val="it-CH"/>
        </w:rPr>
        <w:t xml:space="preserve">, allegato CB 2, </w:t>
      </w:r>
      <w:proofErr w:type="gramStart"/>
      <w:r w:rsidRPr="005166A5">
        <w:rPr>
          <w:rFonts w:ascii="Arial" w:hAnsi="Arial" w:cs="Arial"/>
          <w:lang w:val="it-CH"/>
        </w:rPr>
        <w:t>« Direttive</w:t>
      </w:r>
      <w:proofErr w:type="gramEnd"/>
      <w:r w:rsidRPr="005166A5">
        <w:rPr>
          <w:rFonts w:ascii="Arial" w:hAnsi="Arial" w:cs="Arial"/>
          <w:lang w:val="it-CH"/>
        </w:rPr>
        <w:t xml:space="preserve"> utili per la produzione vegetale integrata ».</w:t>
      </w:r>
    </w:p>
    <w:sectPr w:rsidR="00BB1659" w:rsidRPr="005166A5" w:rsidSect="007100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5620" w14:textId="77777777" w:rsidR="00E476C0" w:rsidRDefault="00E476C0">
      <w:r>
        <w:separator/>
      </w:r>
    </w:p>
  </w:endnote>
  <w:endnote w:type="continuationSeparator" w:id="0">
    <w:p w14:paraId="1AE28182" w14:textId="77777777" w:rsidR="00E476C0" w:rsidRDefault="00E4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CFCF" w14:textId="77777777" w:rsidR="005B44BC" w:rsidRPr="00BB1659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it-CH"/>
      </w:rPr>
    </w:pPr>
    <w:r w:rsidRPr="00BB1659">
      <w:rPr>
        <w:rFonts w:ascii="Tahoma" w:hAnsi="Tahoma" w:cs="Tahoma"/>
        <w:sz w:val="18"/>
        <w:szCs w:val="18"/>
        <w:lang w:val="it-CH"/>
      </w:rPr>
      <w:t>SwissGAP 201</w:t>
    </w:r>
    <w:r w:rsidR="00CE6F8B" w:rsidRPr="00BB1659">
      <w:rPr>
        <w:rFonts w:ascii="Tahoma" w:hAnsi="Tahoma" w:cs="Tahoma"/>
        <w:sz w:val="18"/>
        <w:szCs w:val="18"/>
        <w:lang w:val="it-CH"/>
      </w:rPr>
      <w:t>7</w:t>
    </w:r>
    <w:r w:rsidRPr="00BB1659">
      <w:rPr>
        <w:rFonts w:ascii="Tahoma" w:hAnsi="Tahoma" w:cs="Tahoma"/>
        <w:sz w:val="18"/>
        <w:szCs w:val="18"/>
        <w:lang w:val="it-CH"/>
      </w:rPr>
      <w:t>-V1 (01.01.201</w:t>
    </w:r>
    <w:r w:rsidR="00CE6F8B" w:rsidRPr="00BB1659">
      <w:rPr>
        <w:rFonts w:ascii="Tahoma" w:hAnsi="Tahoma" w:cs="Tahoma"/>
        <w:sz w:val="18"/>
        <w:szCs w:val="18"/>
        <w:lang w:val="it-CH"/>
      </w:rPr>
      <w:t>7</w:t>
    </w:r>
    <w:r w:rsidRPr="00BB1659">
      <w:rPr>
        <w:rFonts w:ascii="Tahoma" w:hAnsi="Tahoma" w:cs="Tahoma"/>
        <w:sz w:val="18"/>
        <w:szCs w:val="18"/>
        <w:lang w:val="it-CH"/>
      </w:rPr>
      <w:t>)</w:t>
    </w:r>
    <w:r w:rsidRPr="00BB1659">
      <w:rPr>
        <w:rFonts w:ascii="Tahoma" w:hAnsi="Tahoma" w:cs="Tahoma"/>
        <w:sz w:val="18"/>
        <w:szCs w:val="18"/>
        <w:lang w:val="it-CH"/>
      </w:rPr>
      <w:tab/>
    </w:r>
    <w:r w:rsidR="00BB1659" w:rsidRPr="00BB1659">
      <w:rPr>
        <w:rFonts w:ascii="Tahoma" w:hAnsi="Tahoma" w:cs="Tahoma"/>
        <w:sz w:val="18"/>
        <w:szCs w:val="18"/>
        <w:lang w:val="it-CH"/>
      </w:rPr>
      <w:t>Documentazione d‘applicazione</w:t>
    </w:r>
    <w:r w:rsidR="007100BE" w:rsidRPr="00BB1659">
      <w:rPr>
        <w:rFonts w:ascii="Tahoma" w:hAnsi="Tahoma" w:cs="Tahoma"/>
        <w:sz w:val="18"/>
        <w:szCs w:val="18"/>
        <w:lang w:val="it-CH"/>
      </w:rPr>
      <w:t xml:space="preserve"> (</w:t>
    </w:r>
    <w:r w:rsidR="00197EF2" w:rsidRPr="00BB1659">
      <w:rPr>
        <w:rFonts w:ascii="Tahoma" w:hAnsi="Tahoma" w:cs="Tahoma"/>
        <w:sz w:val="18"/>
        <w:szCs w:val="18"/>
        <w:lang w:val="it-CH"/>
      </w:rPr>
      <w:t>Regist</w:t>
    </w:r>
    <w:r w:rsidR="00BB1659" w:rsidRPr="00BB1659">
      <w:rPr>
        <w:rFonts w:ascii="Tahoma" w:hAnsi="Tahoma" w:cs="Tahoma"/>
        <w:sz w:val="18"/>
        <w:szCs w:val="18"/>
        <w:lang w:val="it-CH"/>
      </w:rPr>
      <w:t>ro</w:t>
    </w:r>
    <w:r w:rsidR="007100BE" w:rsidRPr="00BB1659">
      <w:rPr>
        <w:rFonts w:ascii="Tahoma" w:hAnsi="Tahoma" w:cs="Tahoma"/>
        <w:sz w:val="18"/>
        <w:szCs w:val="18"/>
        <w:lang w:val="it-CH"/>
      </w:rPr>
      <w:t xml:space="preserve"> </w:t>
    </w:r>
    <w:r w:rsidR="000E32FA" w:rsidRPr="00BB1659">
      <w:rPr>
        <w:rFonts w:ascii="Tahoma" w:hAnsi="Tahoma" w:cs="Tahoma"/>
        <w:sz w:val="18"/>
        <w:szCs w:val="18"/>
        <w:lang w:val="it-CH"/>
      </w:rPr>
      <w:t>1</w:t>
    </w:r>
    <w:r w:rsidR="007100BE" w:rsidRPr="00BB1659">
      <w:rPr>
        <w:rFonts w:ascii="Tahoma" w:hAnsi="Tahoma" w:cs="Tahoma"/>
        <w:sz w:val="18"/>
        <w:szCs w:val="18"/>
        <w:lang w:val="it-CH"/>
      </w:rPr>
      <w:t>)</w:t>
    </w:r>
    <w:r w:rsidRPr="00BB1659">
      <w:rPr>
        <w:rFonts w:ascii="Tahoma" w:hAnsi="Tahoma" w:cs="Tahoma"/>
        <w:sz w:val="18"/>
        <w:szCs w:val="18"/>
        <w:lang w:val="it-CH"/>
      </w:rPr>
      <w:tab/>
    </w:r>
    <w:r w:rsidR="00B71304" w:rsidRPr="00C860EB">
      <w:rPr>
        <w:rFonts w:ascii="Tahoma" w:hAnsi="Tahoma" w:cs="Tahoma"/>
        <w:sz w:val="18"/>
        <w:szCs w:val="18"/>
      </w:rPr>
      <w:fldChar w:fldCharType="begin"/>
    </w:r>
    <w:r w:rsidR="00C860EB" w:rsidRPr="00BB1659">
      <w:rPr>
        <w:rFonts w:ascii="Tahoma" w:hAnsi="Tahoma" w:cs="Tahoma"/>
        <w:sz w:val="18"/>
        <w:szCs w:val="18"/>
        <w:lang w:val="it-CH"/>
      </w:rPr>
      <w:instrText xml:space="preserve"> PAGE </w:instrText>
    </w:r>
    <w:r w:rsidR="00B71304" w:rsidRPr="00C860EB">
      <w:rPr>
        <w:rFonts w:ascii="Tahoma" w:hAnsi="Tahoma" w:cs="Tahoma"/>
        <w:sz w:val="18"/>
        <w:szCs w:val="18"/>
      </w:rPr>
      <w:fldChar w:fldCharType="separate"/>
    </w:r>
    <w:r w:rsidR="0024522E">
      <w:rPr>
        <w:rFonts w:ascii="Tahoma" w:hAnsi="Tahoma" w:cs="Tahoma"/>
        <w:noProof/>
        <w:sz w:val="18"/>
        <w:szCs w:val="18"/>
        <w:lang w:val="it-CH"/>
      </w:rPr>
      <w:t>1</w:t>
    </w:r>
    <w:r w:rsidR="00B71304" w:rsidRPr="00C860EB">
      <w:rPr>
        <w:rFonts w:ascii="Tahoma" w:hAnsi="Tahoma" w:cs="Tahoma"/>
        <w:sz w:val="18"/>
        <w:szCs w:val="18"/>
      </w:rPr>
      <w:fldChar w:fldCharType="end"/>
    </w:r>
    <w:r w:rsidR="00C860EB" w:rsidRPr="00BB1659">
      <w:rPr>
        <w:rFonts w:ascii="Tahoma" w:hAnsi="Tahoma" w:cs="Tahoma"/>
        <w:sz w:val="18"/>
        <w:szCs w:val="18"/>
        <w:lang w:val="it-CH"/>
      </w:rPr>
      <w:t>/</w:t>
    </w:r>
    <w:r w:rsidR="00B71304" w:rsidRPr="00C860EB">
      <w:rPr>
        <w:rFonts w:ascii="Tahoma" w:hAnsi="Tahoma" w:cs="Tahoma"/>
        <w:sz w:val="18"/>
        <w:szCs w:val="18"/>
      </w:rPr>
      <w:fldChar w:fldCharType="begin"/>
    </w:r>
    <w:r w:rsidR="00C860EB" w:rsidRPr="00BB1659">
      <w:rPr>
        <w:rFonts w:ascii="Tahoma" w:hAnsi="Tahoma" w:cs="Tahoma"/>
        <w:sz w:val="18"/>
        <w:szCs w:val="18"/>
        <w:lang w:val="it-CH"/>
      </w:rPr>
      <w:instrText xml:space="preserve"> NUMPAGES </w:instrText>
    </w:r>
    <w:r w:rsidR="00B71304" w:rsidRPr="00C860EB">
      <w:rPr>
        <w:rFonts w:ascii="Tahoma" w:hAnsi="Tahoma" w:cs="Tahoma"/>
        <w:sz w:val="18"/>
        <w:szCs w:val="18"/>
      </w:rPr>
      <w:fldChar w:fldCharType="separate"/>
    </w:r>
    <w:r w:rsidR="0024522E">
      <w:rPr>
        <w:rFonts w:ascii="Tahoma" w:hAnsi="Tahoma" w:cs="Tahoma"/>
        <w:noProof/>
        <w:sz w:val="18"/>
        <w:szCs w:val="18"/>
        <w:lang w:val="it-CH"/>
      </w:rPr>
      <w:t>1</w:t>
    </w:r>
    <w:r w:rsidR="00B71304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FDFC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07215D">
      <w:rPr>
        <w:rFonts w:ascii="Tahoma" w:hAnsi="Tahoma" w:cs="Tahoma"/>
        <w:sz w:val="18"/>
        <w:szCs w:val="18"/>
      </w:rPr>
      <w:t>SwissGAP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3152" w14:textId="77777777" w:rsidR="00E476C0" w:rsidRDefault="00E476C0">
      <w:r>
        <w:separator/>
      </w:r>
    </w:p>
  </w:footnote>
  <w:footnote w:type="continuationSeparator" w:id="0">
    <w:p w14:paraId="31E7D487" w14:textId="77777777" w:rsidR="00E476C0" w:rsidRDefault="00E4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66A8" w14:textId="77777777" w:rsidR="008B245C" w:rsidRDefault="001F462F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proofErr w:type="spellStart"/>
    <w:r>
      <w:rPr>
        <w:rFonts w:ascii="Tahoma" w:hAnsi="Tahoma" w:cs="Tahoma"/>
        <w:b/>
        <w:sz w:val="24"/>
        <w:szCs w:val="24"/>
      </w:rPr>
      <w:t>L</w:t>
    </w:r>
    <w:r w:rsidR="008819EC">
      <w:rPr>
        <w:rFonts w:ascii="Tahoma" w:hAnsi="Tahoma" w:cs="Tahoma"/>
        <w:b/>
        <w:sz w:val="24"/>
        <w:szCs w:val="24"/>
      </w:rPr>
      <w:t>inee</w:t>
    </w:r>
    <w:proofErr w:type="spellEnd"/>
    <w:r w:rsidR="008819EC">
      <w:rPr>
        <w:rFonts w:ascii="Tahoma" w:hAnsi="Tahoma" w:cs="Tahoma"/>
        <w:b/>
        <w:sz w:val="24"/>
        <w:szCs w:val="24"/>
      </w:rPr>
      <w:t xml:space="preserve"> </w:t>
    </w:r>
    <w:proofErr w:type="spellStart"/>
    <w:r w:rsidR="0024522E">
      <w:rPr>
        <w:rFonts w:ascii="Tahoma" w:hAnsi="Tahoma" w:cs="Tahoma"/>
        <w:b/>
        <w:sz w:val="24"/>
        <w:szCs w:val="24"/>
      </w:rPr>
      <w:t>guida</w:t>
    </w:r>
    <w:proofErr w:type="spellEnd"/>
    <w:r w:rsidR="000E32FA">
      <w:rPr>
        <w:rFonts w:ascii="Tahoma" w:hAnsi="Tahoma" w:cs="Tahoma"/>
        <w:b/>
        <w:sz w:val="24"/>
        <w:szCs w:val="24"/>
      </w:rPr>
      <w:t xml:space="preserve"> </w:t>
    </w:r>
    <w:proofErr w:type="spellStart"/>
    <w:r w:rsidR="000E32FA">
      <w:rPr>
        <w:rFonts w:ascii="Tahoma" w:hAnsi="Tahoma" w:cs="Tahoma"/>
        <w:b/>
        <w:sz w:val="24"/>
        <w:szCs w:val="24"/>
      </w:rPr>
      <w:t>SwissGAP</w:t>
    </w:r>
    <w:proofErr w:type="spellEnd"/>
    <w:r w:rsidR="00856FC5">
      <w:rPr>
        <w:rFonts w:ascii="Tahoma" w:hAnsi="Tahoma" w:cs="Tahoma"/>
        <w:b/>
        <w:sz w:val="24"/>
        <w:szCs w:val="24"/>
      </w:rPr>
      <w:t xml:space="preserve"> (</w:t>
    </w:r>
    <w:r w:rsidR="00123CEC">
      <w:rPr>
        <w:rFonts w:ascii="Tahoma" w:hAnsi="Tahoma" w:cs="Tahoma"/>
        <w:b/>
        <w:sz w:val="24"/>
        <w:szCs w:val="24"/>
      </w:rPr>
      <w:t>PC</w:t>
    </w:r>
    <w:r w:rsidR="000E32FA">
      <w:rPr>
        <w:rFonts w:ascii="Tahoma" w:hAnsi="Tahoma" w:cs="Tahoma"/>
        <w:b/>
        <w:sz w:val="24"/>
        <w:szCs w:val="24"/>
      </w:rPr>
      <w:t xml:space="preserve"> </w:t>
    </w:r>
    <w:proofErr w:type="gramStart"/>
    <w:r w:rsidR="000E32FA">
      <w:rPr>
        <w:rFonts w:ascii="Tahoma" w:hAnsi="Tahoma" w:cs="Tahoma"/>
        <w:b/>
        <w:sz w:val="24"/>
        <w:szCs w:val="24"/>
      </w:rPr>
      <w:t>1.1.1</w:t>
    </w:r>
    <w:r w:rsidR="00856FC5">
      <w:rPr>
        <w:rFonts w:ascii="Tahoma" w:hAnsi="Tahoma" w:cs="Tahoma"/>
        <w:b/>
        <w:sz w:val="24"/>
        <w:szCs w:val="24"/>
      </w:rPr>
      <w:t xml:space="preserve"> )</w:t>
    </w:r>
    <w:proofErr w:type="gramEnd"/>
    <w:r w:rsidR="008B245C">
      <w:rPr>
        <w:rFonts w:ascii="Univers" w:hAnsi="Univers"/>
        <w:b/>
        <w:sz w:val="40"/>
      </w:rPr>
      <w:tab/>
    </w:r>
    <w:r w:rsidR="008B245C" w:rsidRPr="005B44BC">
      <w:rPr>
        <w:rFonts w:ascii="Century Gothic" w:hAnsi="Century Gothic" w:cs="Tahoma"/>
        <w:b/>
        <w:sz w:val="24"/>
        <w:szCs w:val="24"/>
      </w:rPr>
      <w:t>SwissGAP</w:t>
    </w:r>
  </w:p>
  <w:p w14:paraId="3C86164B" w14:textId="77777777"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7F121E39" w14:textId="77777777"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E28D" w14:textId="77777777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r w:rsidRPr="005B44BC">
      <w:rPr>
        <w:rFonts w:ascii="Century Gothic" w:hAnsi="Century Gothic" w:cs="Tahoma"/>
        <w:b/>
        <w:sz w:val="24"/>
        <w:szCs w:val="24"/>
      </w:rPr>
      <w:t>SwissGAP</w:t>
    </w:r>
  </w:p>
  <w:p w14:paraId="228BEF00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6D5C9A2E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A82A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AC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B25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A0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8E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AF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20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EC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3E2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47DE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4C552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A446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4A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00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2C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C9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C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8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6256FE8C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7883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EB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0C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46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121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0B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4D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69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0F3E1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2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D2A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66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25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488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1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2E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48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73"/>
    <w:rsid w:val="00000CE4"/>
    <w:rsid w:val="00026D7A"/>
    <w:rsid w:val="0002764F"/>
    <w:rsid w:val="00037B63"/>
    <w:rsid w:val="00037EE4"/>
    <w:rsid w:val="00040636"/>
    <w:rsid w:val="000438F9"/>
    <w:rsid w:val="00050C27"/>
    <w:rsid w:val="000A229A"/>
    <w:rsid w:val="000A5977"/>
    <w:rsid w:val="000C12FB"/>
    <w:rsid w:val="000D6885"/>
    <w:rsid w:val="000E32FA"/>
    <w:rsid w:val="00114C48"/>
    <w:rsid w:val="001168BF"/>
    <w:rsid w:val="00123CEC"/>
    <w:rsid w:val="001371FD"/>
    <w:rsid w:val="00147A47"/>
    <w:rsid w:val="001656DB"/>
    <w:rsid w:val="0016745A"/>
    <w:rsid w:val="00197EF2"/>
    <w:rsid w:val="001D106A"/>
    <w:rsid w:val="001D5922"/>
    <w:rsid w:val="001F462F"/>
    <w:rsid w:val="00206B3E"/>
    <w:rsid w:val="0024522E"/>
    <w:rsid w:val="00255FB5"/>
    <w:rsid w:val="0025792A"/>
    <w:rsid w:val="002717F6"/>
    <w:rsid w:val="00282C00"/>
    <w:rsid w:val="002A48D5"/>
    <w:rsid w:val="002B3755"/>
    <w:rsid w:val="002B4303"/>
    <w:rsid w:val="002B49A5"/>
    <w:rsid w:val="0031468F"/>
    <w:rsid w:val="00315CA6"/>
    <w:rsid w:val="00372EFE"/>
    <w:rsid w:val="00394ED6"/>
    <w:rsid w:val="003B172B"/>
    <w:rsid w:val="003C0187"/>
    <w:rsid w:val="003C45CE"/>
    <w:rsid w:val="003E05C9"/>
    <w:rsid w:val="004047CF"/>
    <w:rsid w:val="00406C7B"/>
    <w:rsid w:val="004203D2"/>
    <w:rsid w:val="00435711"/>
    <w:rsid w:val="004361AF"/>
    <w:rsid w:val="00472A68"/>
    <w:rsid w:val="00496619"/>
    <w:rsid w:val="00502C53"/>
    <w:rsid w:val="005125EF"/>
    <w:rsid w:val="005166A5"/>
    <w:rsid w:val="0054565C"/>
    <w:rsid w:val="00572E5B"/>
    <w:rsid w:val="0059771C"/>
    <w:rsid w:val="005A6E09"/>
    <w:rsid w:val="005B44BC"/>
    <w:rsid w:val="005C3037"/>
    <w:rsid w:val="005E1B5E"/>
    <w:rsid w:val="006021D6"/>
    <w:rsid w:val="00627DAC"/>
    <w:rsid w:val="00630771"/>
    <w:rsid w:val="006349C5"/>
    <w:rsid w:val="00636DA6"/>
    <w:rsid w:val="00640C76"/>
    <w:rsid w:val="00674F89"/>
    <w:rsid w:val="006B76D4"/>
    <w:rsid w:val="006F7711"/>
    <w:rsid w:val="007100BE"/>
    <w:rsid w:val="0071500A"/>
    <w:rsid w:val="00754D5D"/>
    <w:rsid w:val="007833D6"/>
    <w:rsid w:val="007868D2"/>
    <w:rsid w:val="007A106A"/>
    <w:rsid w:val="007E0F6D"/>
    <w:rsid w:val="008239B0"/>
    <w:rsid w:val="0082629B"/>
    <w:rsid w:val="00841A1B"/>
    <w:rsid w:val="0085309D"/>
    <w:rsid w:val="00856FC5"/>
    <w:rsid w:val="00880A57"/>
    <w:rsid w:val="008819EC"/>
    <w:rsid w:val="008A2848"/>
    <w:rsid w:val="008A7DFF"/>
    <w:rsid w:val="008B245C"/>
    <w:rsid w:val="008B3B9E"/>
    <w:rsid w:val="008B56F9"/>
    <w:rsid w:val="008B71D7"/>
    <w:rsid w:val="008C7E75"/>
    <w:rsid w:val="008D6EAD"/>
    <w:rsid w:val="008F1C89"/>
    <w:rsid w:val="00902FF4"/>
    <w:rsid w:val="00904B7F"/>
    <w:rsid w:val="00916DC4"/>
    <w:rsid w:val="00923286"/>
    <w:rsid w:val="00990EBF"/>
    <w:rsid w:val="0099125A"/>
    <w:rsid w:val="00993ED4"/>
    <w:rsid w:val="00997EAE"/>
    <w:rsid w:val="009D03E2"/>
    <w:rsid w:val="009F4F95"/>
    <w:rsid w:val="00A36B5A"/>
    <w:rsid w:val="00AA7479"/>
    <w:rsid w:val="00AD158C"/>
    <w:rsid w:val="00AE3FA8"/>
    <w:rsid w:val="00AE64FD"/>
    <w:rsid w:val="00B003E1"/>
    <w:rsid w:val="00B06381"/>
    <w:rsid w:val="00B1404C"/>
    <w:rsid w:val="00B20350"/>
    <w:rsid w:val="00B407DA"/>
    <w:rsid w:val="00B646A4"/>
    <w:rsid w:val="00B660B9"/>
    <w:rsid w:val="00B71304"/>
    <w:rsid w:val="00B877B1"/>
    <w:rsid w:val="00BA3D67"/>
    <w:rsid w:val="00BA4469"/>
    <w:rsid w:val="00BA46D3"/>
    <w:rsid w:val="00BA519B"/>
    <w:rsid w:val="00BB1659"/>
    <w:rsid w:val="00BB61FA"/>
    <w:rsid w:val="00BC465D"/>
    <w:rsid w:val="00BC50AD"/>
    <w:rsid w:val="00BF5FC1"/>
    <w:rsid w:val="00BF6482"/>
    <w:rsid w:val="00C27114"/>
    <w:rsid w:val="00C860EB"/>
    <w:rsid w:val="00C960B7"/>
    <w:rsid w:val="00C96E27"/>
    <w:rsid w:val="00CE6F8B"/>
    <w:rsid w:val="00D11D73"/>
    <w:rsid w:val="00D262DC"/>
    <w:rsid w:val="00D27125"/>
    <w:rsid w:val="00D3364E"/>
    <w:rsid w:val="00D871E8"/>
    <w:rsid w:val="00DF5845"/>
    <w:rsid w:val="00E4595F"/>
    <w:rsid w:val="00E46CCB"/>
    <w:rsid w:val="00E476C0"/>
    <w:rsid w:val="00E47A90"/>
    <w:rsid w:val="00E91E07"/>
    <w:rsid w:val="00EB02EE"/>
    <w:rsid w:val="00EB152D"/>
    <w:rsid w:val="00EB5E5C"/>
    <w:rsid w:val="00ED4BA0"/>
    <w:rsid w:val="00EF2EFD"/>
    <w:rsid w:val="00F1382B"/>
    <w:rsid w:val="00F346E8"/>
    <w:rsid w:val="00F41936"/>
    <w:rsid w:val="00F53936"/>
    <w:rsid w:val="00F549CC"/>
    <w:rsid w:val="00F71BB7"/>
    <w:rsid w:val="00F723DC"/>
    <w:rsid w:val="00F92620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738A27"/>
  <w15:docId w15:val="{11B54776-823F-4FD5-A6D9-6D534091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EBF"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990EBF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990EBF"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rsid w:val="00990EBF"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990EBF"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0E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EBF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0EBF"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rsid w:val="00990EBF"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rsid w:val="00990EBF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sid w:val="00990EBF"/>
    <w:rPr>
      <w:color w:val="0000FF"/>
      <w:u w:val="single"/>
    </w:rPr>
  </w:style>
  <w:style w:type="character" w:styleId="Seitenzahl">
    <w:name w:val="page number"/>
    <w:basedOn w:val="Absatz-Standardschriftart"/>
    <w:rsid w:val="00990EBF"/>
  </w:style>
  <w:style w:type="paragraph" w:customStyle="1" w:styleId="FormatvorlageTextkrperNach0pt">
    <w:name w:val="Formatvorlage Textkörper + Nach:  0 pt"/>
    <w:basedOn w:val="Standard"/>
    <w:rsid w:val="00990EBF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D159-9BB3-4108-BD2E-A63CFA29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2</cp:revision>
  <cp:lastPrinted>2016-12-13T09:08:00Z</cp:lastPrinted>
  <dcterms:created xsi:type="dcterms:W3CDTF">2020-03-31T14:34:00Z</dcterms:created>
  <dcterms:modified xsi:type="dcterms:W3CDTF">2020-03-31T14:34:00Z</dcterms:modified>
</cp:coreProperties>
</file>